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61" w:rsidRPr="006C5C06" w:rsidRDefault="00722E61" w:rsidP="006C5C06">
      <w:pPr>
        <w:pageBreakBefore/>
        <w:tabs>
          <w:tab w:val="left" w:pos="1701"/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bookmarkStart w:id="0" w:name="_GoBack"/>
      <w:bookmarkEnd w:id="0"/>
      <w:r w:rsidRPr="006C5C0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Statement of exclusivity and availability</w:t>
      </w:r>
      <w:r w:rsidRPr="006C5C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footnoteReference w:id="1"/>
      </w:r>
      <w:r w:rsidRPr="006C5C0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br/>
      </w:r>
      <w:r w:rsidRPr="006C5C06">
        <w:rPr>
          <w:rFonts w:ascii="Times New Roman" w:eastAsia="Times New Roman" w:hAnsi="Times New Roman" w:cs="Times New Roman"/>
          <w:b/>
          <w:caps/>
          <w:sz w:val="12"/>
          <w:szCs w:val="12"/>
          <w:lang w:eastAsia="en-GB"/>
        </w:rPr>
        <w:br/>
      </w:r>
      <w:r w:rsidRPr="006C5C0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FWC Services for the Implementation of External Aid 2018</w:t>
      </w:r>
    </w:p>
    <w:p w:rsidR="006C5C06" w:rsidRPr="006C5C06" w:rsidRDefault="006C5C06" w:rsidP="006C5C06">
      <w:pPr>
        <w:pStyle w:val="SoETitle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5C06">
        <w:rPr>
          <w:rFonts w:ascii="Times New Roman" w:hAnsi="Times New Roman" w:cs="Times New Roman"/>
          <w:b w:val="0"/>
          <w:color w:val="auto"/>
          <w:sz w:val="24"/>
          <w:szCs w:val="24"/>
        </w:rPr>
        <w:t>Request n° 2018/</w:t>
      </w:r>
      <w:r w:rsidRPr="006C5C06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XXXX - Version X</w:t>
      </w:r>
    </w:p>
    <w:p w:rsidR="006C5C06" w:rsidRPr="006C5C06" w:rsidRDefault="006C5C06" w:rsidP="006C5C06">
      <w:pPr>
        <w:pStyle w:val="SoETitle"/>
        <w:spacing w:before="120" w:after="12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6C5C06">
        <w:rPr>
          <w:rFonts w:ascii="Times New Roman" w:hAnsi="Times New Roman" w:cs="Times New Roman"/>
          <w:b w:val="0"/>
          <w:color w:val="auto"/>
          <w:sz w:val="24"/>
          <w:szCs w:val="24"/>
          <w:highlight w:val="cyan"/>
        </w:rPr>
        <w:t>Title</w:t>
      </w:r>
    </w:p>
    <w:p w:rsidR="00722E61" w:rsidRPr="00722E61" w:rsidRDefault="00722E61" w:rsidP="006C5C06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 xml:space="preserve">I, the undersigned, hereby declare that I agree to participate exclusively with the framework contractor </w:t>
      </w:r>
      <w:proofErr w:type="spellStart"/>
      <w:r w:rsidR="008C61F8">
        <w:rPr>
          <w:rFonts w:ascii="Times New Roman" w:eastAsia="Times New Roman" w:hAnsi="Times New Roman" w:cs="Times New Roman"/>
          <w:lang w:eastAsia="en-GB"/>
        </w:rPr>
        <w:t>Ecorys</w:t>
      </w:r>
      <w:proofErr w:type="spellEnd"/>
      <w:r w:rsidR="008C61F8">
        <w:rPr>
          <w:rFonts w:ascii="Times New Roman" w:eastAsia="Times New Roman" w:hAnsi="Times New Roman" w:cs="Times New Roman"/>
          <w:lang w:eastAsia="en-GB"/>
        </w:rPr>
        <w:t xml:space="preserve"> Nederland BV 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in the above-mentioned request for services </w:t>
      </w:r>
      <w:r>
        <w:rPr>
          <w:rFonts w:ascii="Times New Roman" w:eastAsia="Times New Roman" w:hAnsi="Times New Roman" w:cs="Times New Roman"/>
          <w:lang w:eastAsia="en-GB"/>
        </w:rPr>
        <w:t>under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framework contract</w:t>
      </w:r>
      <w:r>
        <w:rPr>
          <w:rFonts w:ascii="Times New Roman" w:eastAsia="Times New Roman" w:hAnsi="Times New Roman" w:cs="Times New Roman"/>
          <w:lang w:eastAsia="en-GB"/>
        </w:rPr>
        <w:t xml:space="preserve"> SIEA 2018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. This includes that I will not be proposed as a replacement expert in this </w:t>
      </w:r>
      <w:r w:rsidR="000964ED">
        <w:rPr>
          <w:rFonts w:ascii="Times New Roman" w:eastAsia="Times New Roman" w:hAnsi="Times New Roman" w:cs="Times New Roman"/>
          <w:lang w:eastAsia="en-GB"/>
        </w:rPr>
        <w:t>request.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 I declare that I am able and willing to work for the period(s) set for the position for which my CV has been included if this </w:t>
      </w:r>
      <w:r>
        <w:rPr>
          <w:rFonts w:ascii="Times New Roman" w:eastAsia="Times New Roman" w:hAnsi="Times New Roman" w:cs="Times New Roman"/>
          <w:lang w:eastAsia="en-GB"/>
        </w:rPr>
        <w:t xml:space="preserve">offer </w:t>
      </w:r>
      <w:r w:rsidRPr="00722E61">
        <w:rPr>
          <w:rFonts w:ascii="Times New Roman" w:eastAsia="Times New Roman" w:hAnsi="Times New Roman" w:cs="Times New Roman"/>
          <w:lang w:eastAsia="en-GB"/>
        </w:rPr>
        <w:t>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From</w:t>
            </w:r>
          </w:p>
        </w:tc>
        <w:tc>
          <w:tcPr>
            <w:tcW w:w="2124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Availability</w:t>
            </w:r>
          </w:p>
        </w:tc>
      </w:tr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start of period 1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24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end of period 1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start of period 2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24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end of period 2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etc.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 &gt;</w:t>
            </w:r>
          </w:p>
        </w:tc>
        <w:tc>
          <w:tcPr>
            <w:tcW w:w="2124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22E61" w:rsidRPr="00722E61" w:rsidRDefault="00722E61" w:rsidP="006C5C06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>I confirm that I do not have a confirmed engagement</w:t>
      </w:r>
      <w:r w:rsidRPr="00722E61">
        <w:rPr>
          <w:rFonts w:ascii="Times New Roman" w:eastAsia="Times New Roman" w:hAnsi="Times New Roman" w:cs="Times New Roman"/>
          <w:vertAlign w:val="superscript"/>
          <w:lang w:eastAsia="en-GB"/>
        </w:rPr>
        <w:footnoteReference w:id="2"/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as key expert in another EU/EDF-funded project, or any other professional activity, incompatible in terms of capacity and timing with the above engagements.</w:t>
      </w:r>
    </w:p>
    <w:p w:rsidR="00722E61" w:rsidRDefault="00722E61" w:rsidP="006C5C06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 xml:space="preserve">By making this declaration, I understand that I am not allowed to offer my services as an expert to any other framework contractor participating in this </w:t>
      </w:r>
      <w:r>
        <w:rPr>
          <w:rFonts w:ascii="Times New Roman" w:eastAsia="Times New Roman" w:hAnsi="Times New Roman" w:cs="Times New Roman"/>
          <w:lang w:eastAsia="en-GB"/>
        </w:rPr>
        <w:t>request for services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. I am fully aware that if I do so, I will be excluded from this </w:t>
      </w:r>
      <w:r>
        <w:rPr>
          <w:rFonts w:ascii="Times New Roman" w:eastAsia="Times New Roman" w:hAnsi="Times New Roman" w:cs="Times New Roman"/>
          <w:lang w:eastAsia="en-GB"/>
        </w:rPr>
        <w:t>request for services</w:t>
      </w:r>
      <w:r w:rsidRPr="00722E61">
        <w:rPr>
          <w:rFonts w:ascii="Times New Roman" w:eastAsia="Times New Roman" w:hAnsi="Times New Roman" w:cs="Times New Roman"/>
          <w:lang w:eastAsia="en-GB"/>
        </w:rPr>
        <w:t>, the will be rejected, and I may also be subject to exclusion from other tender procedures and contracts funded by the EU/EDF.</w:t>
      </w:r>
    </w:p>
    <w:p w:rsidR="00FA5183" w:rsidRPr="00722E61" w:rsidRDefault="00FA5183" w:rsidP="006C5C06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A5183">
        <w:rPr>
          <w:rFonts w:ascii="Times New Roman" w:eastAsia="Times New Roman" w:hAnsi="Times New Roman" w:cs="Times New Roman"/>
          <w:lang w:eastAsia="en-GB"/>
        </w:rPr>
        <w:t>Furthermore, should this offer be ac</w:t>
      </w:r>
      <w:r w:rsidR="000964ED">
        <w:rPr>
          <w:rFonts w:ascii="Times New Roman" w:eastAsia="Times New Roman" w:hAnsi="Times New Roman" w:cs="Times New Roman"/>
          <w:lang w:eastAsia="en-GB"/>
        </w:rPr>
        <w:t>cepted, I am fully aware that</w:t>
      </w:r>
      <w:r w:rsidRPr="00FA5183">
        <w:rPr>
          <w:rFonts w:ascii="Times New Roman" w:eastAsia="Times New Roman" w:hAnsi="Times New Roman" w:cs="Times New Roman"/>
          <w:lang w:eastAsia="en-GB"/>
        </w:rPr>
        <w:t xml:space="preserve"> if I am not available at the expected start date of my services for reasons other than those beyond my control, I may be subject to exclusion from other tender procedures and contracts funded by the EU and that the notification of award of specific contract to the framework contracto</w:t>
      </w:r>
      <w:r w:rsidR="000964ED">
        <w:rPr>
          <w:rFonts w:ascii="Times New Roman" w:eastAsia="Times New Roman" w:hAnsi="Times New Roman" w:cs="Times New Roman"/>
          <w:lang w:eastAsia="en-GB"/>
        </w:rPr>
        <w:t>r may be rendered null and void.</w:t>
      </w:r>
    </w:p>
    <w:p w:rsidR="00722E61" w:rsidRPr="00722E61" w:rsidRDefault="00722E61" w:rsidP="006C5C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 xml:space="preserve">I also declare that I am not in a situation of conflict of interest or unavailability and commit to inform the </w:t>
      </w:r>
      <w:r w:rsidR="00FA5183">
        <w:rPr>
          <w:rFonts w:ascii="Times New Roman" w:eastAsia="Times New Roman" w:hAnsi="Times New Roman" w:cs="Times New Roman"/>
          <w:lang w:eastAsia="en-GB"/>
        </w:rPr>
        <w:t>framework contractor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of any change in my situation.</w:t>
      </w:r>
    </w:p>
    <w:p w:rsidR="00722E61" w:rsidRPr="00722E61" w:rsidRDefault="00722E61" w:rsidP="006C5C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>I acknowledge that I have no contractual relations with the Contracting Authority and in case of dispute concerning my contract with the Contractor I shall address myself to the latter and/or to the competent jurisdictions.</w:t>
      </w:r>
    </w:p>
    <w:p w:rsidR="00722E61" w:rsidRPr="00722E61" w:rsidRDefault="00722E61" w:rsidP="006C5C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>[</w:t>
      </w: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>For information, I have signed a Statement of Exclusivity and Availability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Tender reference</w:t>
            </w:r>
          </w:p>
        </w:tc>
        <w:tc>
          <w:tcPr>
            <w:tcW w:w="2196" w:type="dxa"/>
          </w:tcPr>
          <w:p w:rsidR="00722E61" w:rsidRPr="00722E61" w:rsidRDefault="00722E61" w:rsidP="006C5C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Submission deadline for the tender</w:t>
            </w:r>
          </w:p>
        </w:tc>
        <w:tc>
          <w:tcPr>
            <w:tcW w:w="2338" w:type="dxa"/>
          </w:tcPr>
          <w:p w:rsidR="00722E61" w:rsidRPr="00722E61" w:rsidRDefault="00722E61" w:rsidP="006C5C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Tendered engagement</w:t>
            </w:r>
          </w:p>
        </w:tc>
      </w:tr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tender</w:t>
            </w:r>
            <w:r w:rsidR="00FA5183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/request for services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 reference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date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tender</w:t>
            </w:r>
            <w:r w:rsidR="00FA5183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/request for services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 reference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&lt;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 date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:rsidTr="009717D7">
        <w:trPr>
          <w:jc w:val="center"/>
        </w:trPr>
        <w:tc>
          <w:tcPr>
            <w:tcW w:w="26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etc.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9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:rsidR="00722E61" w:rsidRPr="00722E61" w:rsidRDefault="00722E61" w:rsidP="006C5C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22E61" w:rsidRPr="00722E61" w:rsidRDefault="00722E61" w:rsidP="006C5C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 xml:space="preserve">Should I receive a confirmed engagement I declare that I will accept the first engagement offered to me </w:t>
      </w:r>
      <w:proofErr w:type="gramStart"/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>chronologically.</w:t>
      </w:r>
      <w:proofErr w:type="gramEnd"/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 xml:space="preserve"> Furthermore I will notify </w:t>
      </w:r>
      <w:r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the </w:t>
      </w:r>
      <w:r w:rsidR="00FA5183"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framework contractor </w:t>
      </w:r>
      <w:r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immediately </w:t>
      </w: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>of my unavailability.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722E61" w:rsidRPr="00722E61" w:rsidTr="009717D7">
        <w:tc>
          <w:tcPr>
            <w:tcW w:w="1276" w:type="dxa"/>
            <w:shd w:val="pct10" w:color="auto" w:fill="FFFFFF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t>Name</w:t>
            </w:r>
          </w:p>
        </w:tc>
        <w:tc>
          <w:tcPr>
            <w:tcW w:w="762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22E61" w:rsidRPr="00722E61" w:rsidTr="009717D7">
        <w:tc>
          <w:tcPr>
            <w:tcW w:w="1276" w:type="dxa"/>
            <w:shd w:val="pct10" w:color="auto" w:fill="FFFFFF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Signature</w:t>
            </w:r>
          </w:p>
        </w:tc>
        <w:tc>
          <w:tcPr>
            <w:tcW w:w="762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22E61" w:rsidRPr="00722E61" w:rsidTr="009717D7">
        <w:tc>
          <w:tcPr>
            <w:tcW w:w="1276" w:type="dxa"/>
            <w:shd w:val="pct10" w:color="auto" w:fill="FFFFFF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Date</w:t>
            </w:r>
          </w:p>
        </w:tc>
        <w:tc>
          <w:tcPr>
            <w:tcW w:w="7626" w:type="dxa"/>
          </w:tcPr>
          <w:p w:rsidR="00722E61" w:rsidRPr="00722E61" w:rsidRDefault="00722E61" w:rsidP="006C5C0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9041DF" w:rsidRDefault="009041DF" w:rsidP="006C5C06">
      <w:pPr>
        <w:spacing w:before="120" w:after="120"/>
      </w:pPr>
    </w:p>
    <w:sectPr w:rsidR="009041DF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61" w:rsidRDefault="00722E61" w:rsidP="00722E61">
      <w:pPr>
        <w:spacing w:after="0" w:line="240" w:lineRule="auto"/>
      </w:pPr>
      <w:r>
        <w:separator/>
      </w:r>
    </w:p>
  </w:endnote>
  <w:endnote w:type="continuationSeparator" w:id="0">
    <w:p w:rsidR="00722E61" w:rsidRDefault="00722E61" w:rsidP="0072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61" w:rsidRDefault="00722E61" w:rsidP="00722E61">
      <w:pPr>
        <w:spacing w:after="0" w:line="240" w:lineRule="auto"/>
      </w:pPr>
      <w:r>
        <w:separator/>
      </w:r>
    </w:p>
  </w:footnote>
  <w:footnote w:type="continuationSeparator" w:id="0">
    <w:p w:rsidR="00722E61" w:rsidRDefault="00722E61" w:rsidP="00722E61">
      <w:pPr>
        <w:spacing w:after="0" w:line="240" w:lineRule="auto"/>
      </w:pPr>
      <w:r>
        <w:continuationSeparator/>
      </w:r>
    </w:p>
  </w:footnote>
  <w:footnote w:id="1">
    <w:p w:rsidR="00722E61" w:rsidRPr="002536BF" w:rsidRDefault="00722E61" w:rsidP="00722E61">
      <w:pPr>
        <w:pStyle w:val="FootnoteText"/>
        <w:ind w:left="284" w:hanging="284"/>
        <w:rPr>
          <w:rFonts w:ascii="Times New Roman" w:hAnsi="Times New Roman"/>
        </w:rPr>
      </w:pPr>
      <w:r w:rsidRPr="002536BF">
        <w:rPr>
          <w:rStyle w:val="FootnoteReference"/>
          <w:rFonts w:ascii="Times New Roman" w:hAnsi="Times New Roman"/>
        </w:rPr>
        <w:footnoteRef/>
      </w:r>
      <w:r w:rsidRPr="002536BF">
        <w:rPr>
          <w:rFonts w:ascii="Times New Roman" w:hAnsi="Times New Roman"/>
          <w:vertAlign w:val="superscript"/>
        </w:rPr>
        <w:t xml:space="preserve"> </w:t>
      </w:r>
      <w:r w:rsidRPr="002536BF">
        <w:rPr>
          <w:rFonts w:ascii="Times New Roman" w:hAnsi="Times New Roman"/>
          <w:vertAlign w:val="superscript"/>
        </w:rPr>
        <w:tab/>
      </w:r>
      <w:r w:rsidRPr="002536BF">
        <w:rPr>
          <w:rFonts w:ascii="Times New Roman" w:hAnsi="Times New Roman"/>
        </w:rPr>
        <w:t>To be completed by all key experts</w:t>
      </w:r>
      <w:r>
        <w:rPr>
          <w:rFonts w:ascii="Times New Roman" w:hAnsi="Times New Roman"/>
        </w:rPr>
        <w:t>.</w:t>
      </w:r>
    </w:p>
  </w:footnote>
  <w:footnote w:id="2">
    <w:p w:rsidR="00722E61" w:rsidRPr="002536BF" w:rsidRDefault="00722E61" w:rsidP="00722E61">
      <w:pPr>
        <w:pStyle w:val="FootnoteText"/>
        <w:ind w:left="284" w:hanging="284"/>
        <w:jc w:val="both"/>
      </w:pPr>
      <w:r w:rsidRPr="002536BF">
        <w:rPr>
          <w:rStyle w:val="FootnoteReference"/>
        </w:rPr>
        <w:footnoteRef/>
      </w:r>
      <w:r>
        <w:tab/>
      </w:r>
      <w:r w:rsidRPr="002536BF">
        <w:rPr>
          <w:rFonts w:ascii="Times New Roman" w:hAnsi="Times New Roman"/>
        </w:rPr>
        <w:t xml:space="preserve">The engagement of an expert is confirmed </w:t>
      </w:r>
      <w:r>
        <w:rPr>
          <w:rFonts w:ascii="Times New Roman" w:hAnsi="Times New Roman"/>
        </w:rPr>
        <w:t>if</w:t>
      </w:r>
      <w:r w:rsidRPr="002536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2536BF">
        <w:rPr>
          <w:rFonts w:ascii="Times New Roman" w:hAnsi="Times New Roman"/>
        </w:rPr>
        <w:t xml:space="preserve"> expert is committed to work as a key expert under a signed contract financed by the EU general budget or the EDF or </w:t>
      </w:r>
      <w:r>
        <w:rPr>
          <w:rFonts w:ascii="Times New Roman" w:hAnsi="Times New Roman"/>
        </w:rPr>
        <w:t>if</w:t>
      </w:r>
      <w:r w:rsidRPr="002536BF">
        <w:rPr>
          <w:rFonts w:ascii="Times New Roman" w:hAnsi="Times New Roman"/>
        </w:rPr>
        <w:t xml:space="preserve"> he/she is a key expert in a tender which has received a notification of award. The date of confirmation of the engagement in the latter case is that of the notification of award to the </w:t>
      </w:r>
      <w:r w:rsidR="000964ED">
        <w:rPr>
          <w:rFonts w:ascii="Times New Roman" w:hAnsi="Times New Roman"/>
        </w:rPr>
        <w:t>c</w:t>
      </w:r>
      <w:r>
        <w:rPr>
          <w:rFonts w:ascii="Times New Roman" w:hAnsi="Times New Roman"/>
        </w:rPr>
        <w:t>ontractor</w:t>
      </w:r>
      <w:r w:rsidRPr="002536BF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pdated" w:val="true"/>
  </w:docVars>
  <w:rsids>
    <w:rsidRoot w:val="00722E61"/>
    <w:rsid w:val="000964ED"/>
    <w:rsid w:val="00317D1F"/>
    <w:rsid w:val="005B6FCB"/>
    <w:rsid w:val="006C5C06"/>
    <w:rsid w:val="00722E61"/>
    <w:rsid w:val="00846A72"/>
    <w:rsid w:val="008C61F8"/>
    <w:rsid w:val="009041DF"/>
    <w:rsid w:val="00D66705"/>
    <w:rsid w:val="00D807C8"/>
    <w:rsid w:val="00E34D8D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3BB7-F4C1-4965-9FD9-A7AF80F7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E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61"/>
    <w:rPr>
      <w:sz w:val="20"/>
      <w:szCs w:val="20"/>
    </w:rPr>
  </w:style>
  <w:style w:type="character" w:styleId="FootnoteReference">
    <w:name w:val="footnote reference"/>
    <w:semiHidden/>
    <w:rsid w:val="00722E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61"/>
    <w:rPr>
      <w:rFonts w:ascii="Tahoma" w:hAnsi="Tahoma" w:cs="Tahoma"/>
      <w:sz w:val="16"/>
      <w:szCs w:val="16"/>
    </w:rPr>
  </w:style>
  <w:style w:type="paragraph" w:customStyle="1" w:styleId="SoETitle">
    <w:name w:val="SoE_Title"/>
    <w:basedOn w:val="Normal"/>
    <w:rsid w:val="006C5C06"/>
    <w:pPr>
      <w:spacing w:after="240" w:line="240" w:lineRule="auto"/>
      <w:jc w:val="center"/>
    </w:pPr>
    <w:rPr>
      <w:rFonts w:ascii="Arial" w:eastAsia="Times New Roman" w:hAnsi="Arial" w:cs="Arial"/>
      <w:b/>
      <w:smallCaps/>
      <w:color w:val="333399"/>
      <w:sz w:val="28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Paul (DEVCO)</dc:creator>
  <cp:lastModifiedBy>Oliver Money-Kyrle</cp:lastModifiedBy>
  <cp:revision>2</cp:revision>
  <dcterms:created xsi:type="dcterms:W3CDTF">2019-03-07T15:51:00Z</dcterms:created>
  <dcterms:modified xsi:type="dcterms:W3CDTF">2019-03-07T15:51:00Z</dcterms:modified>
</cp:coreProperties>
</file>